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hotărâre pentru Obținerea acordului de principiu  privind înființarea parcului industrial SC MG TEC GRUP SA </Nume_x0020_proiect_x0020_HCL>
    <_dlc_DocId xmlns="49ad8bbe-11e1-42b2-a965-6a341b5f7ad4">PMD17-1485498287-811</_dlc_DocId>
    <_dlc_DocIdUrl xmlns="49ad8bbe-11e1-42b2-a965-6a341b5f7ad4">
      <Url>http://smdoc/Situri/CL/_layouts/15/DocIdRedir.aspx?ID=PMD17-1485498287-811</Url>
      <Description>PMD17-1485498287-811</Description>
    </_dlc_DocIdUrl>
    <Data1 xmlns="49ad8bbe-11e1-42b2-a965-6a341b5f7ad4">2017-06-26T21:00:00+00:00</Data1>
    <Compartiment xmlns="49ad8bbe-11e1-42b2-a965-6a341b5f7ad4">11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9D887BD6-07D5-4F09-A494-53938690D9B6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Obținere acord de principiu  privind înființarea parcului industrial SC MG TEC GRUP SA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87355d53-8d3e-4951-9bda-e2c016e634cc</vt:lpwstr>
  </property>
  <property fmtid="{D5CDD505-2E9C-101B-9397-08002B2CF9AE}" pid="4" name="_docset_NoMedatataSyncRequired">
    <vt:lpwstr>False</vt:lpwstr>
  </property>
</Properties>
</file>